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20</w:t>
      </w:r>
      <w:r>
        <w:rPr>
          <w:rFonts w:hint="default" w:ascii="Times New Roman" w:hAnsi="Times New Roman" w:eastAsia="黑体" w:cs="Times New Roman"/>
          <w:sz w:val="44"/>
          <w:szCs w:val="44"/>
          <w:lang w:val="en-US" w:eastAsia="zh-CN"/>
        </w:rPr>
        <w:t>2</w:t>
      </w:r>
      <w:r>
        <w:rPr>
          <w:rFonts w:hint="eastAsia" w:ascii="Times New Roman" w:hAnsi="Times New Roman" w:eastAsia="黑体" w:cs="Times New Roman"/>
          <w:sz w:val="44"/>
          <w:szCs w:val="44"/>
          <w:lang w:val="en-US" w:eastAsia="zh-CN"/>
        </w:rPr>
        <w:t>2</w:t>
      </w:r>
      <w:r>
        <w:rPr>
          <w:rFonts w:hint="default" w:ascii="Times New Roman" w:hAnsi="Times New Roman" w:eastAsia="黑体" w:cs="Times New Roman"/>
          <w:sz w:val="44"/>
          <w:szCs w:val="44"/>
        </w:rPr>
        <w:t>年度述职述</w:t>
      </w:r>
      <w:bookmarkStart w:id="0" w:name="_GoBack"/>
      <w:bookmarkEnd w:id="0"/>
      <w:r>
        <w:rPr>
          <w:rFonts w:hint="default" w:ascii="Times New Roman" w:hAnsi="Times New Roman" w:eastAsia="黑体" w:cs="Times New Roman"/>
          <w:sz w:val="44"/>
          <w:szCs w:val="44"/>
        </w:rPr>
        <w:t>廉述作风报告</w:t>
      </w:r>
    </w:p>
    <w:p>
      <w:pPr>
        <w:jc w:val="center"/>
        <w:rPr>
          <w:rFonts w:hint="default" w:ascii="Times New Roman" w:hAnsi="Times New Roman" w:eastAsia="楷体_GB2312" w:cs="Times New Roman"/>
          <w:b/>
          <w:caps/>
          <w:sz w:val="32"/>
          <w:szCs w:val="32"/>
          <w:lang w:val="en-US" w:eastAsia="zh-CN" w:bidi="ar-SA"/>
        </w:rPr>
      </w:pPr>
      <w:r>
        <w:rPr>
          <w:rFonts w:hint="eastAsia" w:ascii="Times New Roman" w:hAnsi="Times New Roman" w:eastAsia="楷体_GB2312" w:cs="Times New Roman"/>
          <w:b/>
          <w:caps/>
          <w:sz w:val="32"/>
          <w:szCs w:val="32"/>
          <w:lang w:val="en-US" w:eastAsia="zh-CN" w:bidi="ar-SA"/>
        </w:rPr>
        <w:t>基础学科部党总支书记  刘军</w:t>
      </w:r>
    </w:p>
    <w:p>
      <w:pPr>
        <w:spacing w:line="480" w:lineRule="auto"/>
        <w:ind w:firstLine="640" w:firstLineChars="200"/>
        <w:rPr>
          <w:rFonts w:hint="eastAsia" w:ascii="方正仿宋_GB2312" w:hAnsi="方正仿宋_GB2312" w:eastAsia="方正仿宋_GB2312" w:cs="方正仿宋_GB2312"/>
          <w:color w:val="000000" w:themeColor="text1"/>
          <w:sz w:val="32"/>
          <w:szCs w:val="32"/>
          <w14:textFill>
            <w14:solidFill>
              <w14:schemeClr w14:val="tx1"/>
            </w14:solidFill>
          </w14:textFill>
        </w:rPr>
      </w:pPr>
    </w:p>
    <w:p>
      <w:pPr>
        <w:spacing w:line="480" w:lineRule="auto"/>
        <w:ind w:firstLine="640" w:firstLineChars="200"/>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一年来，本人以高度的政治责任感和使命感，紧紧围绕</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学</w:t>
      </w:r>
      <w:r>
        <w:rPr>
          <w:rFonts w:hint="eastAsia" w:ascii="方正仿宋_GB2312" w:hAnsi="方正仿宋_GB2312" w:eastAsia="方正仿宋_GB2312" w:cs="方正仿宋_GB2312"/>
          <w:color w:val="000000" w:themeColor="text1"/>
          <w:sz w:val="32"/>
          <w:szCs w:val="32"/>
          <w14:textFill>
            <w14:solidFill>
              <w14:schemeClr w14:val="tx1"/>
            </w14:solidFill>
          </w14:textFill>
        </w:rPr>
        <w:t>院</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党委和校行政</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工作安排部署，认真履行</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党总支部书记</w:t>
      </w:r>
      <w:r>
        <w:rPr>
          <w:rFonts w:hint="eastAsia" w:ascii="方正仿宋_GB2312" w:hAnsi="方正仿宋_GB2312" w:eastAsia="方正仿宋_GB2312" w:cs="方正仿宋_GB2312"/>
          <w:color w:val="000000" w:themeColor="text1"/>
          <w:sz w:val="32"/>
          <w:szCs w:val="32"/>
          <w14:textFill>
            <w14:solidFill>
              <w14:schemeClr w14:val="tx1"/>
            </w14:solidFill>
          </w14:textFill>
        </w:rPr>
        <w:t>职责，脚踏实地，在推动</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基础学科部党建、教学、科研</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各项工作中发挥了自己应有的作用。做到了政治上的严格要求，思想上积极进取，工作上发奋努力，作风上求真务实，生活上从严要求，取得了一定的成绩，较好地完成了各项工作任务。一年来我能够按时</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组织开展部门党员学习，</w:t>
      </w:r>
      <w:r>
        <w:rPr>
          <w:rFonts w:hint="eastAsia" w:ascii="仿宋" w:hAnsi="仿宋" w:eastAsia="仿宋"/>
          <w:bCs/>
          <w:sz w:val="32"/>
          <w:szCs w:val="32"/>
        </w:rPr>
        <w:t>以习近平新时代中国特色社会主义思想为指导，深入学习贯彻党的二十大精神，紧扣立德树人根本任务，统一思想，凝聚力量，弘扬伟大的建党精神，</w:t>
      </w:r>
      <w:r>
        <w:rPr>
          <w:rFonts w:hint="eastAsia" w:ascii="仿宋" w:hAnsi="仿宋" w:eastAsia="仿宋" w:cs="仿宋"/>
          <w:sz w:val="32"/>
          <w:szCs w:val="32"/>
        </w:rPr>
        <w:t>深入贯彻落实中央、甘肃省委和学校党委的各项决策部署，</w:t>
      </w:r>
      <w:r>
        <w:rPr>
          <w:rFonts w:hint="eastAsia" w:ascii="仿宋" w:hAnsi="仿宋" w:eastAsia="仿宋"/>
          <w:bCs/>
          <w:sz w:val="32"/>
          <w:szCs w:val="32"/>
        </w:rPr>
        <w:t>巩固深化拓展党史学习教育成果，认真贯彻落实习近平总书记关于教育的重要论述和关于加强高校党建工作的重要论述，深刻认识</w:t>
      </w:r>
      <w:r>
        <w:rPr>
          <w:rFonts w:ascii="仿宋" w:hAnsi="仿宋" w:eastAsia="仿宋"/>
          <w:bCs/>
          <w:sz w:val="32"/>
          <w:szCs w:val="32"/>
        </w:rPr>
        <w:t>"</w:t>
      </w:r>
      <w:r>
        <w:rPr>
          <w:rFonts w:hint="eastAsia" w:ascii="仿宋" w:hAnsi="仿宋" w:eastAsia="仿宋"/>
          <w:bCs/>
          <w:sz w:val="32"/>
          <w:szCs w:val="32"/>
        </w:rPr>
        <w:t>两个确立</w:t>
      </w:r>
      <w:r>
        <w:rPr>
          <w:rFonts w:ascii="仿宋" w:hAnsi="仿宋" w:eastAsia="仿宋"/>
          <w:bCs/>
          <w:sz w:val="32"/>
          <w:szCs w:val="32"/>
        </w:rPr>
        <w:t>"</w:t>
      </w:r>
      <w:r>
        <w:rPr>
          <w:rFonts w:hint="eastAsia" w:ascii="仿宋" w:hAnsi="仿宋" w:eastAsia="仿宋"/>
          <w:bCs/>
          <w:sz w:val="32"/>
          <w:szCs w:val="32"/>
        </w:rPr>
        <w:t>的决定性意义，增强</w:t>
      </w:r>
      <w:r>
        <w:rPr>
          <w:rFonts w:ascii="仿宋" w:hAnsi="仿宋" w:eastAsia="仿宋"/>
          <w:bCs/>
          <w:sz w:val="32"/>
          <w:szCs w:val="32"/>
        </w:rPr>
        <w:t>"</w:t>
      </w:r>
      <w:r>
        <w:rPr>
          <w:rFonts w:hint="eastAsia" w:ascii="仿宋" w:hAnsi="仿宋" w:eastAsia="仿宋"/>
          <w:bCs/>
          <w:sz w:val="32"/>
          <w:szCs w:val="32"/>
        </w:rPr>
        <w:t>四个意识</w:t>
      </w:r>
      <w:r>
        <w:rPr>
          <w:rFonts w:ascii="仿宋" w:hAnsi="仿宋" w:eastAsia="仿宋"/>
          <w:bCs/>
          <w:sz w:val="32"/>
          <w:szCs w:val="32"/>
        </w:rPr>
        <w:t>"</w:t>
      </w:r>
      <w:r>
        <w:rPr>
          <w:rFonts w:hint="eastAsia" w:ascii="仿宋" w:hAnsi="仿宋" w:eastAsia="仿宋"/>
          <w:bCs/>
          <w:sz w:val="32"/>
          <w:szCs w:val="32"/>
        </w:rPr>
        <w:t>、坚定</w:t>
      </w:r>
      <w:r>
        <w:rPr>
          <w:rFonts w:ascii="仿宋" w:hAnsi="仿宋" w:eastAsia="仿宋"/>
          <w:bCs/>
          <w:sz w:val="32"/>
          <w:szCs w:val="32"/>
        </w:rPr>
        <w:t>"</w:t>
      </w:r>
      <w:r>
        <w:rPr>
          <w:rFonts w:hint="eastAsia" w:ascii="仿宋" w:hAnsi="仿宋" w:eastAsia="仿宋"/>
          <w:bCs/>
          <w:sz w:val="32"/>
          <w:szCs w:val="32"/>
        </w:rPr>
        <w:t>四个自信</w:t>
      </w:r>
      <w:r>
        <w:rPr>
          <w:rFonts w:ascii="仿宋" w:hAnsi="仿宋" w:eastAsia="仿宋"/>
          <w:bCs/>
          <w:sz w:val="32"/>
          <w:szCs w:val="32"/>
        </w:rPr>
        <w:t>"</w:t>
      </w:r>
      <w:r>
        <w:rPr>
          <w:rFonts w:hint="eastAsia" w:ascii="仿宋" w:hAnsi="仿宋" w:eastAsia="仿宋"/>
          <w:bCs/>
          <w:sz w:val="32"/>
          <w:szCs w:val="32"/>
        </w:rPr>
        <w:t>、做到</w:t>
      </w:r>
      <w:r>
        <w:rPr>
          <w:rFonts w:ascii="仿宋" w:hAnsi="仿宋" w:eastAsia="仿宋"/>
          <w:bCs/>
          <w:sz w:val="32"/>
          <w:szCs w:val="32"/>
        </w:rPr>
        <w:t>"</w:t>
      </w:r>
      <w:r>
        <w:rPr>
          <w:rFonts w:hint="eastAsia" w:ascii="仿宋" w:hAnsi="仿宋" w:eastAsia="仿宋"/>
          <w:bCs/>
          <w:sz w:val="32"/>
          <w:szCs w:val="32"/>
        </w:rPr>
        <w:t>两个维护</w:t>
      </w:r>
      <w:r>
        <w:rPr>
          <w:rFonts w:ascii="仿宋" w:hAnsi="仿宋" w:eastAsia="仿宋"/>
          <w:bCs/>
          <w:sz w:val="32"/>
          <w:szCs w:val="32"/>
        </w:rPr>
        <w:t>"</w:t>
      </w:r>
      <w:r>
        <w:rPr>
          <w:rFonts w:hint="eastAsia" w:ascii="仿宋" w:hAnsi="仿宋" w:eastAsia="仿宋"/>
          <w:bCs/>
          <w:sz w:val="32"/>
          <w:szCs w:val="32"/>
        </w:rPr>
        <w:t>。</w:t>
      </w:r>
      <w:r>
        <w:rPr>
          <w:rFonts w:hint="eastAsia" w:ascii="仿宋" w:hAnsi="仿宋" w:eastAsia="仿宋"/>
          <w:bCs/>
          <w:sz w:val="32"/>
          <w:szCs w:val="32"/>
          <w:lang w:val="en-US" w:eastAsia="zh-CN"/>
        </w:rPr>
        <w:t>对学习</w:t>
      </w:r>
      <w:r>
        <w:rPr>
          <w:rFonts w:hint="eastAsia" w:ascii="仿宋" w:hAnsi="仿宋" w:eastAsia="仿宋" w:cs="仿宋"/>
          <w:color w:val="000000" w:themeColor="text1"/>
          <w:sz w:val="32"/>
          <w:szCs w:val="32"/>
          <w:lang w:val="en-US" w:eastAsia="zh-CN"/>
          <w14:textFill>
            <w14:solidFill>
              <w14:schemeClr w14:val="tx1"/>
            </w14:solidFill>
          </w14:textFill>
        </w:rPr>
        <w:t>党的二十大精神制定了支部学习计划和每周的学习安排及学习重点，按时完成“三会一课”。</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较好</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完成</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了党建思政、意识形态领域的各项工作</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。现将一年来履行职责、自身修养、廉洁自律等汇报如下：</w:t>
      </w:r>
    </w:p>
    <w:p>
      <w:pPr>
        <w:spacing w:line="480" w:lineRule="auto"/>
        <w:ind w:firstLine="643"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一、加强学习，努力提高自身素质</w:t>
      </w:r>
    </w:p>
    <w:p>
      <w:pPr>
        <w:spacing w:line="480" w:lineRule="auto"/>
        <w:ind w:firstLine="640" w:firstLineChars="200"/>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平时坚持自学，关心时事政治，积极参加</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校党委和校行政召开的</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各项学习活动</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完成了全年在线学习任务</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按要求认真</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开展党史学习教育，系统学习了《中国共产党简史》、《中华人民共和国简史》、《社会主义发展史》、《改革开放史》等必读文献，在“学史明理、学史增信、学史崇德、学史力行”中不断增强党性修养，增加对党史知识的理解和领悟。组织全部门教师观看和学习习近平总书记的建党一百周年庆典上的讲话。通读了党的十九届六中全会关于《中共中央关于党的百年奋斗重大成就和历史经验的决议》，积极领会决议的“两个确立”和“十个坚持”。组织全部门教师学习《中国共产党的历史经验和行动价值》</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及党的二十大精神，</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更深刻的认识到廉政建设的重要性，廉洁自律的必要性，使自己在思想上、工作上、</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生活</w:t>
      </w:r>
      <w:r>
        <w:rPr>
          <w:rFonts w:hint="eastAsia" w:ascii="方正仿宋_GB2312" w:hAnsi="方正仿宋_GB2312" w:eastAsia="方正仿宋_GB2312" w:cs="方正仿宋_GB2312"/>
          <w:color w:val="000000" w:themeColor="text1"/>
          <w:sz w:val="32"/>
          <w:szCs w:val="32"/>
          <w14:textFill>
            <w14:solidFill>
              <w14:schemeClr w14:val="tx1"/>
            </w14:solidFill>
          </w14:textFill>
        </w:rPr>
        <w:t>上始终绷紧廉洁这根弦，把廉洁自律变成自觉行动，贯穿于日常工作的始终。</w:t>
      </w:r>
    </w:p>
    <w:p>
      <w:pPr>
        <w:spacing w:line="480" w:lineRule="auto"/>
        <w:ind w:firstLine="643"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lang w:eastAsia="zh-CN"/>
          <w14:textFill>
            <w14:solidFill>
              <w14:schemeClr w14:val="tx1"/>
            </w14:solidFill>
          </w14:textFill>
        </w:rPr>
        <w:t>二、</w:t>
      </w:r>
      <w:r>
        <w:rPr>
          <w:rFonts w:hint="eastAsia" w:ascii="黑体" w:hAnsi="黑体" w:eastAsia="黑体" w:cs="黑体"/>
          <w:b/>
          <w:bCs/>
          <w:color w:val="000000" w:themeColor="text1"/>
          <w:sz w:val="32"/>
          <w:szCs w:val="32"/>
          <w14:textFill>
            <w14:solidFill>
              <w14:schemeClr w14:val="tx1"/>
            </w14:solidFill>
          </w14:textFill>
        </w:rPr>
        <w:t>爱岗敬业，切实履行工作职责</w:t>
      </w:r>
    </w:p>
    <w:p>
      <w:pPr>
        <w:spacing w:line="480" w:lineRule="auto"/>
        <w:ind w:firstLine="640" w:firstLineChars="200"/>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2022年以来，</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，在</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部门班子</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的大力支持和全</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全部门教师党员</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的配合下</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以及两个党支部的共同努力，圆满完成了年初的既定工作任务</w:t>
      </w:r>
      <w:r>
        <w:rPr>
          <w:rFonts w:hint="eastAsia" w:ascii="方正仿宋_GB2312" w:hAnsi="方正仿宋_GB2312" w:eastAsia="方正仿宋_GB2312" w:cs="方正仿宋_GB2312"/>
          <w:color w:val="000000" w:themeColor="text1"/>
          <w:sz w:val="32"/>
          <w:szCs w:val="32"/>
          <w14:textFill>
            <w14:solidFill>
              <w14:schemeClr w14:val="tx1"/>
            </w14:solidFill>
          </w14:textFill>
        </w:rPr>
        <w:t>。</w:t>
      </w:r>
    </w:p>
    <w:p>
      <w:pPr>
        <w:spacing w:line="480" w:lineRule="auto"/>
        <w:ind w:firstLine="643" w:firstLineChars="200"/>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楷体_GB2312" w:hAnsi="方正楷体_GB2312" w:eastAsia="方正楷体_GB2312" w:cs="方正楷体_GB2312"/>
          <w:b/>
          <w:bCs/>
          <w:color w:val="000000" w:themeColor="text1"/>
          <w:kern w:val="2"/>
          <w:sz w:val="32"/>
          <w:szCs w:val="32"/>
          <w:lang w:val="en-US" w:eastAsia="zh-CN"/>
          <w14:textFill>
            <w14:solidFill>
              <w14:schemeClr w14:val="tx1"/>
            </w14:solidFill>
          </w14:textFill>
        </w:rPr>
        <w:t>（一）提高认识，加强领导和组织建设。</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召开党史学习教育长效化吹风会，对全体党员教师学习好党史提出明确要求；组织全体党员集中学习习近平在关于高等教育及“人民是江山，江山是人民”的相关讲话精神；根据校党委中心组学习安排结合我部实际，出台基础学科部党总支2022年度党史学习及高等教育理论学习实施方案及学习计划。</w:t>
      </w:r>
    </w:p>
    <w:p>
      <w:pPr>
        <w:spacing w:line="480" w:lineRule="auto"/>
        <w:ind w:firstLine="643" w:firstLineChars="200"/>
        <w:rPr>
          <w:rFonts w:hint="eastAsia" w:ascii="仿宋" w:hAnsi="仿宋" w:eastAsia="仿宋" w:cs="仿宋"/>
          <w:color w:val="000000" w:themeColor="text1"/>
          <w:sz w:val="32"/>
          <w:szCs w:val="32"/>
          <w14:textFill>
            <w14:solidFill>
              <w14:schemeClr w14:val="tx1"/>
            </w14:solidFill>
          </w14:textFill>
        </w:rPr>
      </w:pPr>
      <w:r>
        <w:rPr>
          <w:rFonts w:hint="eastAsia" w:ascii="方正楷体_GB2312" w:hAnsi="方正楷体_GB2312" w:eastAsia="方正楷体_GB2312" w:cs="方正楷体_GB2312"/>
          <w:b/>
          <w:bCs/>
          <w:color w:val="000000" w:themeColor="text1"/>
          <w:kern w:val="2"/>
          <w:sz w:val="32"/>
          <w:szCs w:val="32"/>
          <w:lang w:val="en-US" w:eastAsia="zh-CN"/>
          <w14:textFill>
            <w14:solidFill>
              <w14:schemeClr w14:val="tx1"/>
            </w14:solidFill>
          </w14:textFill>
        </w:rPr>
        <w:t>（二）突出重点，扩大影响。</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一方面以我部网页为载体，传播党史知识。将新华网党史学习官网链接本部门的门户网站上并把一些重要讲话、党史知识和重要活动放入资料下载窗口中供老师们下载学习。另一方面以学习强国和甘肃党建媒体为载体，加强党的理论学习。加强对</w:t>
      </w:r>
      <w:r>
        <w:rPr>
          <w:rFonts w:hint="eastAsia" w:ascii="仿宋" w:hAnsi="仿宋" w:eastAsia="仿宋" w:cs="仿宋"/>
          <w:color w:val="000000" w:themeColor="text1"/>
          <w:sz w:val="32"/>
          <w:szCs w:val="32"/>
          <w:lang w:val="en-US" w:eastAsia="zh-CN"/>
          <w14:textFill>
            <w14:solidFill>
              <w14:schemeClr w14:val="tx1"/>
            </w14:solidFill>
          </w14:textFill>
        </w:rPr>
        <w:t>关于“人民就是江山，江山就是人民”的相关论述及</w:t>
      </w:r>
      <w:r>
        <w:rPr>
          <w:rFonts w:hint="eastAsia" w:ascii="仿宋" w:hAnsi="仿宋" w:eastAsia="仿宋" w:cs="仿宋"/>
          <w:color w:val="000000" w:themeColor="text1"/>
          <w:sz w:val="32"/>
          <w:szCs w:val="32"/>
          <w14:textFill>
            <w14:solidFill>
              <w14:schemeClr w14:val="tx1"/>
            </w14:solidFill>
          </w14:textFill>
        </w:rPr>
        <w:t>“九个必须”、“八个明确</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十四个坚持”、《中国共产党的历史使命和行动价值》、《中共中央第</w:t>
      </w:r>
      <w:r>
        <w:rPr>
          <w:rFonts w:hint="eastAsia" w:ascii="仿宋" w:hAnsi="仿宋" w:eastAsia="仿宋" w:cs="仿宋"/>
          <w:color w:val="000000" w:themeColor="text1"/>
          <w:sz w:val="32"/>
          <w:szCs w:val="32"/>
          <w:lang w:val="en-US" w:eastAsia="zh-CN"/>
          <w14:textFill>
            <w14:solidFill>
              <w14:schemeClr w14:val="tx1"/>
            </w14:solidFill>
          </w14:textFill>
        </w:rPr>
        <w:t>二十</w:t>
      </w:r>
      <w:r>
        <w:rPr>
          <w:rFonts w:hint="eastAsia" w:ascii="仿宋" w:hAnsi="仿宋" w:eastAsia="仿宋" w:cs="仿宋"/>
          <w:color w:val="000000" w:themeColor="text1"/>
          <w:sz w:val="32"/>
          <w:szCs w:val="32"/>
          <w14:textFill>
            <w14:solidFill>
              <w14:schemeClr w14:val="tx1"/>
            </w14:solidFill>
          </w14:textFill>
        </w:rPr>
        <w:t>届</w:t>
      </w: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中全会公报》、《中共中央关于党的百年奋斗重大成就和历史经验的决议》等党史知识</w:t>
      </w:r>
      <w:r>
        <w:rPr>
          <w:rFonts w:hint="eastAsia" w:ascii="仿宋" w:hAnsi="仿宋" w:eastAsia="仿宋" w:cs="仿宋"/>
          <w:color w:val="000000" w:themeColor="text1"/>
          <w:sz w:val="32"/>
          <w:szCs w:val="32"/>
          <w:lang w:val="en-US" w:eastAsia="zh-CN"/>
          <w14:textFill>
            <w14:solidFill>
              <w14:schemeClr w14:val="tx1"/>
            </w14:solidFill>
          </w14:textFill>
        </w:rPr>
        <w:t>及党的二十大关于《中国共产党章程（修订版）》的学习</w:t>
      </w:r>
      <w:r>
        <w:rPr>
          <w:rFonts w:hint="eastAsia" w:ascii="仿宋" w:hAnsi="仿宋" w:eastAsia="仿宋" w:cs="仿宋"/>
          <w:color w:val="000000" w:themeColor="text1"/>
          <w:sz w:val="32"/>
          <w:szCs w:val="32"/>
          <w14:textFill>
            <w14:solidFill>
              <w14:schemeClr w14:val="tx1"/>
            </w14:solidFill>
          </w14:textFill>
        </w:rPr>
        <w:t>；组织党员干部观看学习百年党史优秀电影展播；为全体党员下载学习资料</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00余份，要求大家自学并在支部党课及党员大会上进行系统学习。同时，督促全体教师将党史知识和相关理论应用到课程思政中，全方位贯彻党的教育方针，本着“为党育人，为国育才”的理念，培养学生形成“请党放心，强国有我”的信心。</w:t>
      </w:r>
    </w:p>
    <w:p>
      <w:pPr>
        <w:spacing w:line="480" w:lineRule="auto"/>
        <w:ind w:firstLine="640" w:firstLineChars="200"/>
        <w:rPr>
          <w:rFonts w:ascii="仿宋" w:hAnsi="仿宋" w:eastAsia="仿宋" w:cs="仿宋"/>
          <w:color w:val="000000" w:themeColor="text1"/>
          <w:sz w:val="32"/>
          <w:szCs w:val="32"/>
          <w14:textFill>
            <w14:solidFill>
              <w14:schemeClr w14:val="tx1"/>
            </w14:solidFill>
          </w14:textFill>
        </w:rPr>
      </w:pPr>
    </w:p>
    <w:p>
      <w:pPr>
        <w:numPr>
          <w:ilvl w:val="0"/>
          <w:numId w:val="0"/>
        </w:numPr>
        <w:ind w:firstLine="643" w:firstLineChars="200"/>
        <w:jc w:val="both"/>
        <w:rPr>
          <w:rFonts w:hint="eastAsia" w:ascii="楷体" w:hAnsi="楷体" w:eastAsia="楷体" w:cs="楷体"/>
          <w:sz w:val="32"/>
          <w:szCs w:val="32"/>
          <w:lang w:eastAsia="zh-CN"/>
        </w:rPr>
      </w:pPr>
      <w:r>
        <w:rPr>
          <w:rFonts w:hint="eastAsia" w:ascii="方正楷体_GB2312" w:hAnsi="方正楷体_GB2312" w:eastAsia="方正楷体_GB2312" w:cs="方正楷体_GB2312"/>
          <w:b/>
          <w:bCs/>
          <w:color w:val="000000" w:themeColor="text1"/>
          <w:kern w:val="2"/>
          <w:sz w:val="32"/>
          <w:szCs w:val="32"/>
          <w:lang w:val="en-US" w:eastAsia="zh-CN"/>
          <w14:textFill>
            <w14:solidFill>
              <w14:schemeClr w14:val="tx1"/>
            </w14:solidFill>
          </w14:textFill>
        </w:rPr>
        <w:t>（三）拓宽渠道，确保实效。首先进行参观与感悟：</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组织全体党员到八路军驻兰州办事处纪念馆参观学习老一辈革命家为甘肃解放的革命事业抛头颅洒热血的光辉历程，用“传承红色基因，赓续红色血脉”激励年轻教师立足本职，立德树人的师德师风建设。第一党支部开展丰富多彩的文体活动穿插学习百年党史，启迪广大教师为党的高等教育事业奉献力量。第二党支部全体党员到张一悟纪念馆参观学习，用先烈的事迹激励和提升党性修养。其次是积极落实支部书记上党课要求。邀请马铁信副校长为我们全体教师作了题为“认真学习习近平总书记“七一”重要讲话精神，以史为鉴促进学校转型发展”的主题党课；</w:t>
      </w:r>
      <w:r>
        <w:rPr>
          <w:rFonts w:hint="eastAsia" w:ascii="仿宋" w:hAnsi="仿宋" w:eastAsia="仿宋" w:cs="仿宋"/>
          <w:color w:val="000000" w:themeColor="text1"/>
          <w:sz w:val="32"/>
          <w:szCs w:val="32"/>
          <w14:textFill>
            <w14:solidFill>
              <w14:schemeClr w14:val="tx1"/>
            </w14:solidFill>
          </w14:textFill>
        </w:rPr>
        <w:t>刘军做了题为“百年砥砺前行 不忘初心使命”</w:t>
      </w:r>
      <w:r>
        <w:rPr>
          <w:rFonts w:hint="eastAsia" w:ascii="仿宋" w:hAnsi="仿宋" w:eastAsia="仿宋" w:cs="仿宋"/>
          <w:color w:val="000000" w:themeColor="text1"/>
          <w:sz w:val="32"/>
          <w:szCs w:val="32"/>
          <w:lang w:eastAsia="zh-CN"/>
          <w14:textFill>
            <w14:solidFill>
              <w14:schemeClr w14:val="tx1"/>
            </w14:solidFill>
          </w14:textFill>
        </w:rPr>
        <w:t>及“百年党史指导新中国七十年高等教育的蓬勃发展”、“</w:t>
      </w:r>
      <w:r>
        <w:rPr>
          <w:rFonts w:hint="eastAsia" w:ascii="仿宋" w:hAnsi="仿宋" w:eastAsia="仿宋" w:cs="仿宋"/>
          <w:color w:val="000000" w:themeColor="text1"/>
          <w:sz w:val="32"/>
          <w:szCs w:val="32"/>
          <w:lang w:val="en-US" w:eastAsia="zh-CN"/>
          <w14:textFill>
            <w14:solidFill>
              <w14:schemeClr w14:val="tx1"/>
            </w14:solidFill>
          </w14:textFill>
        </w:rPr>
        <w:t>在进取中突破 于挫折中奋起</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的主题党课</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邀请马克思主义学院车庆陇副教授为全体党员教师作了题为“全面深化改革，推进国家治理体系现代化”的党课。第一党支部书记李彦刚和第二党支部书记简粤分别为本支部党员做了主题党课。每月全体党员的学习都有个总结，要求全体党员每月提交一篇学习心得和体会。</w:t>
      </w:r>
    </w:p>
    <w:p>
      <w:pPr>
        <w:numPr>
          <w:ilvl w:val="0"/>
          <w:numId w:val="0"/>
        </w:numPr>
        <w:ind w:firstLine="643" w:firstLineChars="200"/>
        <w:jc w:val="both"/>
        <w:rPr>
          <w:rFonts w:hint="eastAsia" w:ascii="仿宋" w:hAnsi="仿宋" w:eastAsia="仿宋" w:cs="仿宋"/>
          <w:color w:val="000000" w:themeColor="text1"/>
          <w:kern w:val="2"/>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三、严于律己，廉洁奉公，保持良好形象。</w:t>
      </w:r>
    </w:p>
    <w:p>
      <w:pPr>
        <w:numPr>
          <w:ilvl w:val="0"/>
          <w:numId w:val="0"/>
        </w:numPr>
        <w:ind w:firstLine="640" w:firstLineChars="200"/>
        <w:jc w:val="both"/>
        <w:rPr>
          <w:rFonts w:hint="eastAsia" w:ascii="仿宋" w:hAnsi="仿宋" w:eastAsia="仿宋" w:cs="仿宋"/>
          <w:color w:val="000000" w:themeColor="text1"/>
          <w:kern w:val="2"/>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认真执行党风廉政建设责任制和“一岗双责”。工作中坚持做到“八个禁止”。能认真执行党风廉政责任制的各项要求，并严格要求自己，始终牢记党的纪律和党员干部廉洁从业若干规定有关要求，带头践行“干事干净”的廉政理念，能严格要求自己，时刻提醒自己，不论是在做任何事情、在任何情况下，都要做到谦虚谨慎，戒骄戒躁，勤俭节约，艰苦奋斗，自觉抵御各种腐朽思想的侵蚀，能保持清醒的头脑。认真践行群众路线，积极转变工作作风，虚心听取批评意见，自觉接受党和群众的监督，始终保持共产党员的蓬勃朝气、昂扬锐气和浩然正气。在生活中，注重提高自身修养，做到生活正派、情趣健康。在日常生活中，能够严格按照有关规章制度办事，无论事大事小，每个工作环节都实行阳光操作、透明处理，做到廉洁自律、奉公守法。全年无不廉洁情况。</w:t>
      </w:r>
    </w:p>
    <w:p>
      <w:pPr>
        <w:numPr>
          <w:ilvl w:val="0"/>
          <w:numId w:val="0"/>
        </w:numPr>
        <w:ind w:firstLine="643" w:firstLineChars="200"/>
        <w:jc w:val="both"/>
        <w:rPr>
          <w:rFonts w:hint="eastAsia" w:ascii="仿宋" w:hAnsi="仿宋" w:eastAsia="仿宋" w:cs="仿宋"/>
          <w:color w:val="000000" w:themeColor="text1"/>
          <w:kern w:val="2"/>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四、存在的主要问题及今后的打算</w:t>
      </w:r>
    </w:p>
    <w:p>
      <w:pPr>
        <w:numPr>
          <w:ilvl w:val="0"/>
          <w:numId w:val="0"/>
        </w:numPr>
        <w:ind w:firstLine="643" w:firstLineChars="200"/>
        <w:jc w:val="both"/>
        <w:rPr>
          <w:rFonts w:hint="eastAsia" w:ascii="方正楷体_GB2312" w:hAnsi="方正楷体_GB2312" w:eastAsia="方正楷体_GB2312" w:cs="方正楷体_GB2312"/>
          <w:b/>
          <w:bCs/>
          <w:color w:val="000000" w:themeColor="text1"/>
          <w:kern w:val="2"/>
          <w:sz w:val="32"/>
          <w:szCs w:val="32"/>
          <w:lang w:val="en-US" w:eastAsia="zh-CN"/>
          <w14:textFill>
            <w14:solidFill>
              <w14:schemeClr w14:val="tx1"/>
            </w14:solidFill>
          </w14:textFill>
        </w:rPr>
      </w:pPr>
      <w:r>
        <w:rPr>
          <w:rFonts w:hint="eastAsia" w:ascii="方正楷体_GB2312" w:hAnsi="方正楷体_GB2312" w:eastAsia="方正楷体_GB2312" w:cs="方正楷体_GB2312"/>
          <w:b/>
          <w:bCs/>
          <w:color w:val="000000" w:themeColor="text1"/>
          <w:kern w:val="2"/>
          <w:sz w:val="32"/>
          <w:szCs w:val="32"/>
          <w:lang w:val="en-US" w:eastAsia="zh-CN"/>
          <w14:textFill>
            <w14:solidFill>
              <w14:schemeClr w14:val="tx1"/>
            </w14:solidFill>
          </w14:textFill>
        </w:rPr>
        <w:t>（一）存在的主要问题</w:t>
      </w:r>
    </w:p>
    <w:p>
      <w:pPr>
        <w:numPr>
          <w:ilvl w:val="0"/>
          <w:numId w:val="0"/>
        </w:numPr>
        <w:ind w:firstLine="640" w:firstLineChars="200"/>
        <w:jc w:val="both"/>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kern w:val="2"/>
          <w:sz w:val="32"/>
          <w:szCs w:val="32"/>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、理论学习和研究缺乏应有的深度和系统性；驾驭全局的能力有待进一步提高。</w:t>
      </w:r>
    </w:p>
    <w:p>
      <w:pPr>
        <w:numPr>
          <w:ilvl w:val="0"/>
          <w:numId w:val="0"/>
        </w:numPr>
        <w:ind w:firstLine="640" w:firstLineChars="200"/>
        <w:jc w:val="both"/>
        <w:rPr>
          <w:rFonts w:hint="eastAsia" w:ascii="方正仿宋_GB2312" w:hAnsi="方正仿宋_GB2312" w:eastAsia="方正仿宋_GB2312" w:cs="方正仿宋_GB2312"/>
          <w:color w:val="000000" w:themeColor="text1"/>
          <w:kern w:val="2"/>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kern w:val="2"/>
          <w:sz w:val="32"/>
          <w:szCs w:val="32"/>
          <w:lang w:val="en-US" w:eastAsia="zh-CN"/>
          <w14:textFill>
            <w14:solidFill>
              <w14:schemeClr w14:val="tx1"/>
            </w14:solidFill>
          </w14:textFill>
        </w:rPr>
        <w:t>2、工作中有时不够细致，方法比较简单。</w:t>
      </w:r>
    </w:p>
    <w:p>
      <w:pPr>
        <w:numPr>
          <w:ilvl w:val="0"/>
          <w:numId w:val="0"/>
        </w:numPr>
        <w:ind w:firstLine="640" w:firstLineChars="200"/>
        <w:jc w:val="both"/>
        <w:rPr>
          <w:rFonts w:hint="eastAsia" w:ascii="方正仿宋_GB2312" w:hAnsi="方正仿宋_GB2312" w:eastAsia="方正仿宋_GB2312" w:cs="方正仿宋_GB2312"/>
          <w:color w:val="000000" w:themeColor="text1"/>
          <w:kern w:val="2"/>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kern w:val="2"/>
          <w:sz w:val="32"/>
          <w:szCs w:val="32"/>
          <w:lang w:val="en-US" w:eastAsia="zh-CN"/>
          <w14:textFill>
            <w14:solidFill>
              <w14:schemeClr w14:val="tx1"/>
            </w14:solidFill>
          </w14:textFill>
        </w:rPr>
        <w:t>3、自我要求还有待进一步提高。</w:t>
      </w:r>
    </w:p>
    <w:p>
      <w:pPr>
        <w:numPr>
          <w:ilvl w:val="0"/>
          <w:numId w:val="0"/>
        </w:numPr>
        <w:ind w:firstLine="643" w:firstLineChars="200"/>
        <w:jc w:val="both"/>
        <w:rPr>
          <w:rFonts w:hint="eastAsia" w:ascii="仿宋" w:hAnsi="仿宋" w:eastAsia="仿宋" w:cs="仿宋"/>
          <w:color w:val="000000" w:themeColor="text1"/>
          <w:kern w:val="2"/>
          <w:sz w:val="32"/>
          <w:szCs w:val="32"/>
          <w:lang w:val="en-US" w:eastAsia="zh-CN"/>
          <w14:textFill>
            <w14:solidFill>
              <w14:schemeClr w14:val="tx1"/>
            </w14:solidFill>
          </w14:textFill>
        </w:rPr>
      </w:pPr>
      <w:r>
        <w:rPr>
          <w:rFonts w:hint="eastAsia" w:ascii="方正楷体_GB2312" w:hAnsi="方正楷体_GB2312" w:eastAsia="方正楷体_GB2312" w:cs="方正楷体_GB2312"/>
          <w:b/>
          <w:bCs/>
          <w:color w:val="000000" w:themeColor="text1"/>
          <w:kern w:val="2"/>
          <w:sz w:val="32"/>
          <w:szCs w:val="32"/>
          <w:lang w:val="en-US" w:eastAsia="zh-CN"/>
          <w14:textFill>
            <w14:solidFill>
              <w14:schemeClr w14:val="tx1"/>
            </w14:solidFill>
          </w14:textFill>
        </w:rPr>
        <w:t>（二）今后打算</w:t>
      </w:r>
    </w:p>
    <w:p>
      <w:pPr>
        <w:pStyle w:val="3"/>
        <w:spacing w:line="480" w:lineRule="auto"/>
        <w:ind w:left="0" w:leftChars="0"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kern w:val="2"/>
          <w:sz w:val="32"/>
          <w:szCs w:val="32"/>
          <w:lang w:val="en-US" w:eastAsia="zh-CN"/>
          <w14:textFill>
            <w14:solidFill>
              <w14:schemeClr w14:val="tx1"/>
            </w14:solidFill>
          </w14:textFill>
        </w:rPr>
        <w:t>下一步，我将按照学校学习教育方案安排，按时序进度持续深入推进党史学习教育。从党史学习教育的第二阶段转入《中共中央关于党的百年奋斗重大成就和历史经验的决议》学习上，将党的百年奋斗所取得的重大成就的学习中汲取营养，深入学习领会党的历史使命和行动价值，深入学习党领导全国人民奋进第二个百年奋斗目标新征程的相关理论和精神。面对新时期检查工作的需要，努力克服自身不足，不断增强党性锻炼，加强理论学习和研究，进一步提高领导干部的先锋模范作用。按照校党委的要求，全力配合部门行政领导做好部门党建和教学科研发展规划。</w:t>
      </w:r>
    </w:p>
    <w:p>
      <w:pPr>
        <w:pStyle w:val="3"/>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rPr>
          <w:rFonts w:hint="default"/>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 xml:space="preserve">                                   2022年12月15日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 w:name="Microsoft YaHei UI">
    <w:panose1 w:val="020B0503020204020204"/>
    <w:charset w:val="86"/>
    <w:family w:val="swiss"/>
    <w:pitch w:val="default"/>
    <w:sig w:usb0="80000287" w:usb1="28C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iYzkzODUwOTdmN2IxODU2MDNkZTY2OTcyNGQyNjMifQ=="/>
  </w:docVars>
  <w:rsids>
    <w:rsidRoot w:val="6E057005"/>
    <w:rsid w:val="048A04BC"/>
    <w:rsid w:val="6E057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widowControl/>
      <w:spacing w:before="120" w:after="120" w:line="264" w:lineRule="auto"/>
      <w:ind w:firstLine="1572" w:firstLineChars="200"/>
      <w:jc w:val="left"/>
    </w:pPr>
    <w:rPr>
      <w:rFonts w:ascii="Arial" w:hAnsi="Arial" w:eastAsia="Microsoft YaHei UI" w:cs="Tahoma"/>
      <w:color w:val="3F3F3F"/>
      <w:kern w:val="0"/>
      <w:sz w:val="24"/>
      <w:szCs w:val="20"/>
      <w:lang w:val="zh-CN"/>
    </w:rPr>
  </w:style>
  <w:style w:type="paragraph" w:styleId="3">
    <w:name w:val="index 4"/>
    <w:basedOn w:val="1"/>
    <w:next w:val="1"/>
    <w:qFormat/>
    <w:uiPriority w:val="0"/>
    <w:pPr>
      <w:ind w:left="600" w:leftChars="600"/>
    </w:pPr>
  </w:style>
  <w:style w:type="paragraph" w:styleId="4">
    <w:name w:val="toc 1"/>
    <w:basedOn w:val="1"/>
    <w:next w:val="1"/>
    <w:qFormat/>
    <w:uiPriority w:val="99"/>
    <w:pPr>
      <w:spacing w:line="240" w:lineRule="atLeast"/>
    </w:pPr>
    <w:rPr>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2634</Words>
  <Characters>2650</Characters>
  <Lines>0</Lines>
  <Paragraphs>0</Paragraphs>
  <TotalTime>1</TotalTime>
  <ScaleCrop>false</ScaleCrop>
  <LinksUpToDate>false</LinksUpToDate>
  <CharactersWithSpaces>2715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2022-12-18T07:15:00Z</dcterms:created>
  <dc:creator>L-joy</dc:creator>
  <cp:lastModifiedBy>张豫冈</cp:lastModifiedBy>
  <dcterms:modified xsi:type="dcterms:W3CDTF">2022-12-18T08:01:02Z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8863811137D94B95B371E072993A8743</vt:lpwstr>
  </property>
</Properties>
</file>